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8375" w14:textId="20EC9D45" w:rsidR="004361B1" w:rsidRPr="00E15B53" w:rsidRDefault="004361B1" w:rsidP="000E683C">
      <w:pPr>
        <w:pStyle w:val="Heading1"/>
        <w:ind w:right="545"/>
        <w:jc w:val="both"/>
        <w:rPr>
          <w:color w:val="2E74B5" w:themeColor="accent5" w:themeShade="BF"/>
        </w:rPr>
      </w:pPr>
      <w:r>
        <w:rPr>
          <w:rFonts w:hint="eastAsia"/>
          <w:color w:val="2E74B5" w:themeColor="accent5" w:themeShade="BF"/>
        </w:rPr>
        <w:t>议程项目</w:t>
      </w:r>
      <w:r>
        <w:rPr>
          <w:rFonts w:hint="eastAsia"/>
          <w:color w:val="2E74B5" w:themeColor="accent5" w:themeShade="BF"/>
        </w:rPr>
        <w:t xml:space="preserve"> 10</w:t>
      </w:r>
      <w:r>
        <w:rPr>
          <w:rFonts w:hint="eastAsia"/>
          <w:color w:val="2E74B5" w:themeColor="accent5" w:themeShade="BF"/>
        </w:rPr>
        <w:t>：董事会</w:t>
      </w:r>
      <w:r>
        <w:rPr>
          <w:rFonts w:hint="eastAsia"/>
          <w:color w:val="2E74B5" w:themeColor="accent5" w:themeShade="BF"/>
        </w:rPr>
        <w:t xml:space="preserve">-GAC </w:t>
      </w:r>
      <w:r>
        <w:rPr>
          <w:rFonts w:hint="eastAsia"/>
          <w:color w:val="2E74B5" w:themeColor="accent5" w:themeShade="BF"/>
        </w:rPr>
        <w:t>审核实施</w:t>
      </w:r>
      <w:r>
        <w:rPr>
          <w:rFonts w:hint="eastAsia"/>
          <w:color w:val="2E74B5" w:themeColor="accent5" w:themeShade="BF"/>
        </w:rPr>
        <w:t xml:space="preserve"> (BGRI) </w:t>
      </w:r>
      <w:r>
        <w:rPr>
          <w:rFonts w:hint="eastAsia"/>
          <w:color w:val="2E74B5" w:themeColor="accent5" w:themeShade="BF"/>
        </w:rPr>
        <w:t>工作组</w:t>
      </w:r>
    </w:p>
    <w:p w14:paraId="6F7711BB" w14:textId="0A2CDF52" w:rsidR="00C365F8" w:rsidRPr="00C365F8" w:rsidRDefault="00C365F8" w:rsidP="000E683C">
      <w:pPr>
        <w:pStyle w:val="Heading2"/>
        <w:jc w:val="both"/>
        <w:rPr>
          <w:b w:val="0"/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/>
          <w:b w:val="0"/>
          <w:color w:val="000000" w:themeColor="text1"/>
          <w:sz w:val="20"/>
          <w:szCs w:val="20"/>
        </w:rPr>
        <w:t>本简报由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 ICANN </w:t>
      </w:r>
      <w:r>
        <w:rPr>
          <w:rFonts w:hint="eastAsia"/>
          <w:b w:val="0"/>
          <w:color w:val="000000" w:themeColor="text1"/>
          <w:sz w:val="20"/>
          <w:szCs w:val="20"/>
        </w:rPr>
        <w:t>支持人员编制。</w:t>
      </w:r>
    </w:p>
    <w:p w14:paraId="0A7735AC" w14:textId="77777777" w:rsidR="00C365F8" w:rsidRPr="00C365F8" w:rsidRDefault="00C365F8" w:rsidP="000E683C">
      <w:pPr>
        <w:pStyle w:val="BodyText"/>
        <w:jc w:val="both"/>
        <w:rPr>
          <w:lang w:val="en-AU"/>
        </w:rPr>
      </w:pPr>
    </w:p>
    <w:p w14:paraId="3E153AFD" w14:textId="22C4B596" w:rsidR="00EA4C85" w:rsidRPr="00EA4C85" w:rsidRDefault="004361B1" w:rsidP="000E683C">
      <w:pPr>
        <w:pStyle w:val="Heading2"/>
        <w:jc w:val="both"/>
      </w:pPr>
      <w:r>
        <w:rPr>
          <w:rFonts w:hint="eastAsia"/>
        </w:rPr>
        <w:t>议题：</w:t>
      </w:r>
    </w:p>
    <w:p w14:paraId="2FEB9F26" w14:textId="3C6D2B78" w:rsidR="00EA4C85" w:rsidRPr="00C365F8" w:rsidRDefault="00E15B53" w:rsidP="000E683C">
      <w:pPr>
        <w:pStyle w:val="Heading2"/>
        <w:ind w:right="0"/>
        <w:jc w:val="both"/>
        <w:rPr>
          <w:b w:val="0"/>
          <w:color w:val="000000" w:themeColor="text1"/>
          <w:sz w:val="20"/>
          <w:szCs w:val="20"/>
        </w:rPr>
      </w:pPr>
      <w:r>
        <w:rPr>
          <w:rFonts w:hint="eastAsia"/>
        </w:rPr>
        <w:br/>
      </w:r>
      <w:r>
        <w:rPr>
          <w:rFonts w:hint="eastAsia"/>
          <w:b w:val="0"/>
          <w:color w:val="000000" w:themeColor="text1"/>
          <w:sz w:val="20"/>
          <w:szCs w:val="20"/>
        </w:rPr>
        <w:t>一段时间以来，改进对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 GAC </w:t>
      </w:r>
      <w:r>
        <w:rPr>
          <w:rFonts w:hint="eastAsia"/>
          <w:b w:val="0"/>
          <w:color w:val="000000" w:themeColor="text1"/>
          <w:sz w:val="20"/>
          <w:szCs w:val="20"/>
        </w:rPr>
        <w:t>建议的处理和追踪流程，一直是董事会和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 GAC </w:t>
      </w:r>
      <w:r>
        <w:rPr>
          <w:rFonts w:hint="eastAsia"/>
          <w:b w:val="0"/>
          <w:color w:val="000000" w:themeColor="text1"/>
          <w:sz w:val="20"/>
          <w:szCs w:val="20"/>
        </w:rPr>
        <w:t>的一个基本侧重点。过去几年里，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GAC </w:t>
      </w:r>
      <w:r>
        <w:rPr>
          <w:rFonts w:hint="eastAsia"/>
          <w:b w:val="0"/>
          <w:color w:val="000000" w:themeColor="text1"/>
          <w:sz w:val="20"/>
          <w:szCs w:val="20"/>
        </w:rPr>
        <w:t>已经改进了自己的工作方法，而且它在改进自己与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 ICANN </w:t>
      </w:r>
      <w:r>
        <w:rPr>
          <w:rFonts w:hint="eastAsia"/>
          <w:b w:val="0"/>
          <w:color w:val="000000" w:themeColor="text1"/>
          <w:sz w:val="20"/>
          <w:szCs w:val="20"/>
        </w:rPr>
        <w:t>董事会之间的流程方面所做的努力也取得了一定的成效。</w:t>
      </w:r>
      <w:bookmarkStart w:id="0" w:name="_GoBack"/>
      <w:bookmarkEnd w:id="0"/>
    </w:p>
    <w:p w14:paraId="2E879282" w14:textId="77777777" w:rsidR="00533EC9" w:rsidRPr="00C365F8" w:rsidRDefault="00533EC9" w:rsidP="000E683C">
      <w:pPr>
        <w:pStyle w:val="BodyText"/>
        <w:jc w:val="both"/>
        <w:rPr>
          <w:sz w:val="20"/>
          <w:szCs w:val="20"/>
          <w:lang w:val="en-AU"/>
        </w:rPr>
      </w:pPr>
    </w:p>
    <w:p w14:paraId="4C4C6784" w14:textId="48520062" w:rsidR="00533EC9" w:rsidRPr="00C365F8" w:rsidRDefault="00E6612A" w:rsidP="000E683C">
      <w:pPr>
        <w:pStyle w:val="BodyText"/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 w:hint="eastAsia"/>
          <w:color w:val="000000" w:themeColor="text1"/>
          <w:sz w:val="20"/>
          <w:szCs w:val="20"/>
        </w:rPr>
        <w:t>董事会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-GAC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审核实施工作组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(BGRI)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的成立可追溯到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2011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年，当时第一问责制和透明度审核小组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(ATRT)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提出了成立工作组的建议，事实证明，它确实能有效促进董事会与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GAC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成员之间的例行对话。截至目前，工作组已经改进了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ICANN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董事会对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GAC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建议的接收、</w:t>
      </w:r>
      <w:proofErr w:type="gramStart"/>
      <w:r>
        <w:rPr>
          <w:rFonts w:ascii="Century Gothic" w:hAnsi="Century Gothic" w:hint="eastAsia"/>
          <w:color w:val="000000" w:themeColor="text1"/>
          <w:sz w:val="20"/>
          <w:szCs w:val="20"/>
        </w:rPr>
        <w:t>考量</w:t>
      </w:r>
      <w:proofErr w:type="gramEnd"/>
      <w:r>
        <w:rPr>
          <w:rFonts w:ascii="Century Gothic" w:hAnsi="Century Gothic" w:hint="eastAsia"/>
          <w:color w:val="000000" w:themeColor="text1"/>
          <w:sz w:val="20"/>
          <w:szCs w:val="20"/>
        </w:rPr>
        <w:t>、处理和追踪。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BGRI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讨论的议题包括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GAC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建议的实际界定、双方之间的信息交流，以及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GAC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秘书处对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GAC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运营原则的支持和修订等等。</w:t>
      </w:r>
    </w:p>
    <w:p w14:paraId="0CE590DD" w14:textId="77777777" w:rsidR="00533EC9" w:rsidRPr="00C365F8" w:rsidRDefault="00533EC9" w:rsidP="000E683C">
      <w:pPr>
        <w:pStyle w:val="BodyText"/>
        <w:spacing w:line="276" w:lineRule="auto"/>
        <w:jc w:val="both"/>
        <w:rPr>
          <w:rFonts w:ascii="Century Gothic" w:hAnsi="Century Gothic"/>
          <w:color w:val="000000" w:themeColor="text1"/>
          <w:sz w:val="20"/>
          <w:szCs w:val="20"/>
          <w:lang w:val="en-AU"/>
        </w:rPr>
      </w:pPr>
    </w:p>
    <w:p w14:paraId="07E0330C" w14:textId="2A2C10EA" w:rsidR="00533EC9" w:rsidRPr="00C365F8" w:rsidRDefault="00533EC9" w:rsidP="000E683C">
      <w:pPr>
        <w:pStyle w:val="BodyText"/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 w:hint="eastAsia"/>
          <w:color w:val="000000" w:themeColor="text1"/>
          <w:sz w:val="20"/>
          <w:szCs w:val="20"/>
        </w:rPr>
        <w:t>最近，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GAC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领导层和董事会成员通过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BGRI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，对双方工作关系的战略方面展开了运营讨论和审视。</w:t>
      </w:r>
    </w:p>
    <w:p w14:paraId="3AD58F69" w14:textId="77777777" w:rsidR="00EA4C85" w:rsidRPr="00C365F8" w:rsidRDefault="00EA4C85" w:rsidP="000E683C">
      <w:pPr>
        <w:pStyle w:val="BodyText"/>
        <w:jc w:val="both"/>
        <w:rPr>
          <w:rFonts w:ascii="Century Gothic" w:hAnsi="Century Gothic"/>
          <w:color w:val="000000" w:themeColor="text1"/>
          <w:sz w:val="20"/>
          <w:szCs w:val="20"/>
          <w:lang w:val="en-AU"/>
        </w:rPr>
      </w:pPr>
    </w:p>
    <w:p w14:paraId="4E860E82" w14:textId="5D67D87C" w:rsidR="004361B1" w:rsidRDefault="004361B1" w:rsidP="000E683C">
      <w:pPr>
        <w:pStyle w:val="Heading2"/>
        <w:jc w:val="both"/>
      </w:pPr>
      <w:r>
        <w:rPr>
          <w:rFonts w:hint="eastAsia"/>
        </w:rPr>
        <w:t xml:space="preserve">GAC </w:t>
      </w:r>
      <w:r>
        <w:rPr>
          <w:rFonts w:hint="eastAsia"/>
        </w:rPr>
        <w:t>需要采取的行动：</w:t>
      </w:r>
    </w:p>
    <w:p w14:paraId="4E41603B" w14:textId="77777777" w:rsidR="004134C7" w:rsidRDefault="004134C7" w:rsidP="000E683C">
      <w:pPr>
        <w:pStyle w:val="BodyText"/>
        <w:jc w:val="both"/>
        <w:rPr>
          <w:lang w:val="en-AU"/>
        </w:rPr>
      </w:pPr>
    </w:p>
    <w:p w14:paraId="3D15A20F" w14:textId="10D67A81" w:rsidR="004134C7" w:rsidRPr="00C365F8" w:rsidRDefault="004134C7" w:rsidP="000E683C">
      <w:pPr>
        <w:pStyle w:val="BodyTex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改进工作尚未结束，在这两个重要的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群体之间，还有许多其他事务有待探讨。</w:t>
      </w:r>
    </w:p>
    <w:p w14:paraId="4CAB09DD" w14:textId="77777777" w:rsidR="000A353D" w:rsidRPr="000A353D" w:rsidRDefault="000A353D" w:rsidP="000E683C">
      <w:pPr>
        <w:pStyle w:val="BodyText"/>
        <w:jc w:val="both"/>
        <w:rPr>
          <w:lang w:val="en-AU"/>
        </w:rPr>
      </w:pPr>
    </w:p>
    <w:p w14:paraId="544559DF" w14:textId="75B51315" w:rsidR="004361B1" w:rsidRDefault="004361B1" w:rsidP="000E683C">
      <w:pPr>
        <w:pStyle w:val="Heading2"/>
        <w:jc w:val="both"/>
      </w:pPr>
      <w:r>
        <w:rPr>
          <w:rFonts w:hint="eastAsia"/>
        </w:rPr>
        <w:t>目前状况：</w:t>
      </w:r>
    </w:p>
    <w:p w14:paraId="0B893029" w14:textId="77777777" w:rsidR="00F42B96" w:rsidRDefault="00F42B96" w:rsidP="000E683C">
      <w:pPr>
        <w:pStyle w:val="BodyText"/>
        <w:jc w:val="both"/>
        <w:rPr>
          <w:lang w:val="en-AU"/>
        </w:rPr>
      </w:pPr>
    </w:p>
    <w:p w14:paraId="29095243" w14:textId="0B0FE023" w:rsidR="00F42B96" w:rsidRPr="00C365F8" w:rsidRDefault="00F42B96" w:rsidP="000E683C">
      <w:pPr>
        <w:pStyle w:val="BodyTex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本会议的议程仍在制定中，目前确定要讨论的议题包括：</w:t>
      </w:r>
    </w:p>
    <w:p w14:paraId="46A80EFA" w14:textId="77777777" w:rsidR="007074E5" w:rsidRPr="00C365F8" w:rsidRDefault="007074E5" w:rsidP="000E683C">
      <w:pPr>
        <w:pStyle w:val="BodyText"/>
        <w:jc w:val="both"/>
        <w:rPr>
          <w:rFonts w:ascii="Century Gothic" w:hAnsi="Century Gothic"/>
          <w:sz w:val="20"/>
          <w:szCs w:val="20"/>
          <w:lang w:val="en-AU"/>
        </w:rPr>
      </w:pPr>
    </w:p>
    <w:p w14:paraId="70D5FB6A" w14:textId="2F68DF6D" w:rsidR="00533EC9" w:rsidRPr="00C365F8" w:rsidRDefault="00533EC9" w:rsidP="000E683C">
      <w:pPr>
        <w:pStyle w:val="BodyText"/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1.</w:t>
      </w:r>
      <w:r w:rsidR="000E683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 w:hint="eastAsia"/>
          <w:sz w:val="20"/>
          <w:szCs w:val="20"/>
        </w:rPr>
        <w:t>行动请求注册</w:t>
      </w:r>
    </w:p>
    <w:p w14:paraId="5C1AF7B5" w14:textId="77777777" w:rsidR="00533EC9" w:rsidRPr="00C365F8" w:rsidRDefault="00533EC9" w:rsidP="000E683C">
      <w:pPr>
        <w:pStyle w:val="BodyText"/>
        <w:ind w:left="14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 xml:space="preserve">a. </w:t>
      </w:r>
      <w:r>
        <w:rPr>
          <w:rFonts w:ascii="Century Gothic" w:hAnsi="Century Gothic" w:hint="eastAsia"/>
          <w:sz w:val="20"/>
          <w:szCs w:val="20"/>
        </w:rPr>
        <w:t>现状与后续步骤</w:t>
      </w:r>
    </w:p>
    <w:p w14:paraId="119DD1AB" w14:textId="77777777" w:rsidR="00533EC9" w:rsidRPr="000E683C" w:rsidRDefault="00533EC9" w:rsidP="000E683C">
      <w:pPr>
        <w:pStyle w:val="BodyText"/>
        <w:ind w:left="1440"/>
        <w:jc w:val="both"/>
        <w:rPr>
          <w:rFonts w:ascii="Century Gothic" w:hAnsi="Century Gothic"/>
          <w:sz w:val="20"/>
          <w:szCs w:val="20"/>
        </w:rPr>
      </w:pPr>
      <w:r w:rsidRPr="000E683C">
        <w:rPr>
          <w:rFonts w:ascii="Century Gothic" w:hAnsi="Century Gothic" w:hint="eastAsia"/>
          <w:sz w:val="20"/>
          <w:szCs w:val="20"/>
        </w:rPr>
        <w:t xml:space="preserve">B. </w:t>
      </w:r>
      <w:r w:rsidRPr="000E683C">
        <w:rPr>
          <w:rFonts w:ascii="Century Gothic" w:hAnsi="Century Gothic" w:hint="eastAsia"/>
          <w:sz w:val="20"/>
          <w:szCs w:val="20"/>
        </w:rPr>
        <w:t>对以往建议（北京会议前）的考量，以及对其他类别建议（例如，</w:t>
      </w:r>
      <w:r w:rsidRPr="000E683C">
        <w:rPr>
          <w:rFonts w:ascii="Century Gothic" w:hAnsi="Century Gothic" w:hint="eastAsia"/>
          <w:sz w:val="20"/>
          <w:szCs w:val="20"/>
        </w:rPr>
        <w:t xml:space="preserve">GAC </w:t>
      </w:r>
      <w:r w:rsidRPr="000E683C">
        <w:rPr>
          <w:rFonts w:ascii="Century Gothic" w:hAnsi="Century Gothic" w:hint="eastAsia"/>
          <w:sz w:val="20"/>
          <w:szCs w:val="20"/>
        </w:rPr>
        <w:t>关于</w:t>
      </w:r>
      <w:r w:rsidRPr="000E683C">
        <w:rPr>
          <w:rFonts w:ascii="Century Gothic" w:hAnsi="Century Gothic" w:hint="eastAsia"/>
          <w:sz w:val="20"/>
          <w:szCs w:val="20"/>
        </w:rPr>
        <w:t xml:space="preserve"> ccTLD </w:t>
      </w:r>
      <w:r w:rsidRPr="000E683C">
        <w:rPr>
          <w:rFonts w:ascii="Century Gothic" w:hAnsi="Century Gothic" w:hint="eastAsia"/>
          <w:sz w:val="20"/>
          <w:szCs w:val="20"/>
        </w:rPr>
        <w:t>的原则？或者关于新</w:t>
      </w:r>
      <w:r w:rsidRPr="000E683C">
        <w:rPr>
          <w:rFonts w:ascii="Century Gothic" w:hAnsi="Century Gothic" w:hint="eastAsia"/>
          <w:sz w:val="20"/>
          <w:szCs w:val="20"/>
        </w:rPr>
        <w:t xml:space="preserve"> gTLD </w:t>
      </w:r>
      <w:r w:rsidRPr="000E683C">
        <w:rPr>
          <w:rFonts w:ascii="Century Gothic" w:hAnsi="Century Gothic" w:hint="eastAsia"/>
          <w:sz w:val="20"/>
          <w:szCs w:val="20"/>
        </w:rPr>
        <w:t>的原则？）的可能考量</w:t>
      </w:r>
    </w:p>
    <w:p w14:paraId="6E814AB6" w14:textId="65502AF1" w:rsidR="00533EC9" w:rsidRPr="00C365F8" w:rsidRDefault="00533EC9" w:rsidP="000E683C">
      <w:pPr>
        <w:pStyle w:val="BodyText"/>
        <w:ind w:left="7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2.</w:t>
      </w:r>
      <w:r w:rsidR="000E683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 w:hint="eastAsia"/>
          <w:sz w:val="20"/>
          <w:szCs w:val="20"/>
        </w:rPr>
        <w:t>双字符网站信息的跟进（由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产品管理团队报告最新动态）</w:t>
      </w:r>
    </w:p>
    <w:p w14:paraId="413C8410" w14:textId="77777777" w:rsidR="00533EC9" w:rsidRPr="00C365F8" w:rsidRDefault="00533EC9" w:rsidP="000E683C">
      <w:pPr>
        <w:pStyle w:val="BodyText"/>
        <w:jc w:val="both"/>
        <w:rPr>
          <w:rFonts w:ascii="Century Gothic" w:hAnsi="Century Gothic"/>
          <w:sz w:val="20"/>
          <w:szCs w:val="20"/>
        </w:rPr>
      </w:pPr>
    </w:p>
    <w:p w14:paraId="49A33DEB" w14:textId="45C017FD" w:rsidR="00533EC9" w:rsidRPr="00C365F8" w:rsidRDefault="00533EC9" w:rsidP="000E683C">
      <w:pPr>
        <w:pStyle w:val="BodyTex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在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第</w:t>
      </w:r>
      <w:r>
        <w:rPr>
          <w:rFonts w:ascii="Century Gothic" w:hAnsi="Century Gothic" w:hint="eastAsia"/>
          <w:sz w:val="20"/>
          <w:szCs w:val="20"/>
        </w:rPr>
        <w:t xml:space="preserve"> 62 </w:t>
      </w:r>
      <w:r>
        <w:rPr>
          <w:rFonts w:ascii="Century Gothic" w:hAnsi="Century Gothic" w:hint="eastAsia"/>
          <w:sz w:val="20"/>
          <w:szCs w:val="20"/>
        </w:rPr>
        <w:t>届会议之前，以上内容会随着议程的不断完善而更新。</w:t>
      </w:r>
    </w:p>
    <w:p w14:paraId="7D92772E" w14:textId="77777777" w:rsidR="00533EC9" w:rsidRPr="00533EC9" w:rsidRDefault="00533EC9" w:rsidP="000E683C">
      <w:pPr>
        <w:pStyle w:val="BodyText"/>
        <w:jc w:val="both"/>
        <w:rPr>
          <w:rFonts w:ascii="Century Gothic" w:hAnsi="Century Gothic"/>
        </w:rPr>
      </w:pPr>
    </w:p>
    <w:p w14:paraId="50295ED3" w14:textId="583D1093" w:rsidR="00E15B53" w:rsidRDefault="004361B1" w:rsidP="000E683C">
      <w:pPr>
        <w:pStyle w:val="Heading2"/>
        <w:pageBreakBefore/>
        <w:jc w:val="both"/>
      </w:pPr>
      <w:r>
        <w:rPr>
          <w:rFonts w:hint="eastAsia"/>
        </w:rPr>
        <w:lastRenderedPageBreak/>
        <w:t>更多背景信息</w:t>
      </w:r>
      <w:r>
        <w:rPr>
          <w:rFonts w:hint="eastAsia"/>
        </w:rPr>
        <w:t>/</w:t>
      </w:r>
      <w:r>
        <w:rPr>
          <w:rFonts w:hint="eastAsia"/>
        </w:rPr>
        <w:t>详情：</w:t>
      </w:r>
    </w:p>
    <w:p w14:paraId="4FFE7001" w14:textId="77777777" w:rsidR="00EA4C85" w:rsidRPr="00EA4C85" w:rsidRDefault="00EA4C85" w:rsidP="000E683C">
      <w:pPr>
        <w:pStyle w:val="BodyText"/>
        <w:jc w:val="both"/>
        <w:rPr>
          <w:lang w:val="en-AU"/>
        </w:rPr>
      </w:pPr>
    </w:p>
    <w:p w14:paraId="1041C00F" w14:textId="25F7DA7B" w:rsidR="00603893" w:rsidRPr="00C365F8" w:rsidRDefault="00E15B53" w:rsidP="000E683C">
      <w:pPr>
        <w:pStyle w:val="Heading2"/>
        <w:rPr>
          <w:b w:val="0"/>
          <w:sz w:val="20"/>
          <w:szCs w:val="20"/>
        </w:rPr>
      </w:pPr>
      <w:r>
        <w:rPr>
          <w:rFonts w:hint="eastAsia"/>
          <w:b w:val="0"/>
          <w:color w:val="000000" w:themeColor="text1"/>
          <w:sz w:val="20"/>
          <w:szCs w:val="20"/>
        </w:rPr>
        <w:t>董事会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-GAC </w:t>
      </w:r>
      <w:r>
        <w:rPr>
          <w:rFonts w:hint="eastAsia"/>
          <w:b w:val="0"/>
          <w:color w:val="000000" w:themeColor="text1"/>
          <w:sz w:val="20"/>
          <w:szCs w:val="20"/>
        </w:rPr>
        <w:t>建议实施工作组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 (BGRI-WG) </w:t>
      </w:r>
      <w:r>
        <w:rPr>
          <w:rFonts w:hint="eastAsia"/>
          <w:b w:val="0"/>
          <w:sz w:val="20"/>
          <w:szCs w:val="20"/>
        </w:rPr>
        <w:t>(</w:t>
      </w:r>
      <w:hyperlink r:id="rId7" w:tgtFrame="_blank" w:history="1">
        <w:r>
          <w:rPr>
            <w:rStyle w:val="Hyperlink"/>
            <w:rFonts w:hint="eastAsia"/>
            <w:b w:val="0"/>
            <w:color w:val="034990" w:themeColor="hyperlink" w:themeShade="BF"/>
            <w:sz w:val="20"/>
            <w:szCs w:val="20"/>
          </w:rPr>
          <w:t>https://www.icann.org/resources/pages/board-gac-2011-2012-02-28-en</w:t>
        </w:r>
      </w:hyperlink>
      <w:r>
        <w:rPr>
          <w:rFonts w:hint="eastAsia"/>
          <w:b w:val="0"/>
          <w:sz w:val="20"/>
          <w:szCs w:val="20"/>
        </w:rPr>
        <w:t xml:space="preserve">) </w:t>
      </w:r>
      <w:r>
        <w:rPr>
          <w:rFonts w:hint="eastAsia"/>
          <w:b w:val="0"/>
          <w:color w:val="000000" w:themeColor="text1"/>
          <w:sz w:val="20"/>
          <w:szCs w:val="20"/>
        </w:rPr>
        <w:t>最初是为了实施第一问责制和透明度审核小组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 (ATRT1) </w:t>
      </w:r>
      <w:r>
        <w:rPr>
          <w:rFonts w:hint="eastAsia"/>
          <w:b w:val="0"/>
          <w:color w:val="000000" w:themeColor="text1"/>
          <w:sz w:val="20"/>
          <w:szCs w:val="20"/>
        </w:rPr>
        <w:t>关于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 GAC </w:t>
      </w:r>
      <w:r>
        <w:rPr>
          <w:rFonts w:hint="eastAsia"/>
          <w:b w:val="0"/>
          <w:color w:val="000000" w:themeColor="text1"/>
          <w:sz w:val="20"/>
          <w:szCs w:val="20"/>
        </w:rPr>
        <w:t>的建议而成立，建议详情请参见</w:t>
      </w:r>
      <w:r>
        <w:rPr>
          <w:rFonts w:hint="eastAsia"/>
          <w:b w:val="0"/>
          <w:color w:val="000000" w:themeColor="text1"/>
          <w:sz w:val="20"/>
          <w:szCs w:val="20"/>
        </w:rPr>
        <w:t xml:space="preserve"> </w:t>
      </w:r>
      <w:hyperlink r:id="rId8" w:tgtFrame="_blank" w:history="1">
        <w:r>
          <w:rPr>
            <w:rStyle w:val="Hyperlink"/>
            <w:rFonts w:hint="eastAsia"/>
            <w:b w:val="0"/>
            <w:color w:val="034990" w:themeColor="hyperlink" w:themeShade="BF"/>
            <w:sz w:val="20"/>
            <w:szCs w:val="20"/>
          </w:rPr>
          <w:t>https://www.icann.org/resources/reviews/specific-reviews/atrt</w:t>
        </w:r>
      </w:hyperlink>
      <w:r>
        <w:rPr>
          <w:rFonts w:hint="eastAsia"/>
          <w:b w:val="0"/>
          <w:sz w:val="20"/>
          <w:szCs w:val="20"/>
        </w:rPr>
        <w:t>。</w:t>
      </w:r>
    </w:p>
    <w:p w14:paraId="35E16029" w14:textId="77777777" w:rsidR="00603893" w:rsidRPr="00C365F8" w:rsidRDefault="00603893" w:rsidP="000E683C">
      <w:pPr>
        <w:pStyle w:val="Heading2"/>
        <w:rPr>
          <w:b w:val="0"/>
          <w:sz w:val="20"/>
          <w:szCs w:val="20"/>
        </w:rPr>
      </w:pPr>
    </w:p>
    <w:p w14:paraId="48596282" w14:textId="0656766F" w:rsidR="006B0F0E" w:rsidRPr="00C365F8" w:rsidRDefault="00E15B53" w:rsidP="000E683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color w:val="000000" w:themeColor="text1"/>
          <w:sz w:val="20"/>
          <w:szCs w:val="20"/>
        </w:rPr>
        <w:t>之后，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BGRI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的职权范围扩展到了负责实施第二问责制和透明度审核小组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(ATRT2)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关于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GAC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的建议，建议详情请参见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</w:t>
      </w:r>
      <w:hyperlink r:id="rId9" w:tgtFrame="_blank" w:history="1">
        <w:r>
          <w:rPr>
            <w:rStyle w:val="Hyperlink"/>
            <w:rFonts w:ascii="Century Gothic" w:hAnsi="Century Gothic" w:hint="eastAsia"/>
            <w:sz w:val="20"/>
            <w:szCs w:val="20"/>
          </w:rPr>
          <w:t>https://www.icann.org/resources/reviews/specific-reviews/atrt</w:t>
        </w:r>
      </w:hyperlink>
      <w:r>
        <w:rPr>
          <w:rFonts w:ascii="Century Gothic" w:hAnsi="Century Gothic" w:hint="eastAsia"/>
          <w:sz w:val="20"/>
          <w:szCs w:val="20"/>
        </w:rPr>
        <w:t>；</w:t>
      </w:r>
    </w:p>
    <w:p w14:paraId="2E6114EA" w14:textId="77777777" w:rsidR="006B0F0E" w:rsidRPr="00C365F8" w:rsidRDefault="006B0F0E" w:rsidP="000E683C">
      <w:pPr>
        <w:rPr>
          <w:rFonts w:ascii="Century Gothic" w:hAnsi="Century Gothic"/>
          <w:sz w:val="20"/>
          <w:szCs w:val="20"/>
        </w:rPr>
      </w:pPr>
    </w:p>
    <w:p w14:paraId="3DD60B1B" w14:textId="014E5950" w:rsidR="006B0F0E" w:rsidRPr="00C365F8" w:rsidRDefault="006B0F0E" w:rsidP="000E683C">
      <w:pPr>
        <w:rPr>
          <w:rFonts w:ascii="Century Gothic" w:hAnsi="Century Gothic"/>
          <w:color w:val="0000D4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另请参见</w:t>
      </w:r>
      <w:r>
        <w:rPr>
          <w:rFonts w:ascii="Century Gothic" w:hAnsi="Century Gothic" w:hint="eastAsia"/>
          <w:sz w:val="20"/>
          <w:szCs w:val="20"/>
        </w:rPr>
        <w:t xml:space="preserve">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ATRT2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建议实施维基页面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</w:t>
      </w:r>
      <w:r w:rsidR="000E683C">
        <w:rPr>
          <w:rFonts w:ascii="Century Gothic" w:hAnsi="Century Gothic" w:hint="eastAsia"/>
          <w:color w:val="000000" w:themeColor="text1"/>
          <w:sz w:val="20"/>
          <w:szCs w:val="20"/>
        </w:rPr>
        <w:t>－</w:t>
      </w:r>
      <w:r>
        <w:rPr>
          <w:rFonts w:ascii="Century Gothic" w:hAnsi="Century Gothic" w:hint="eastAsia"/>
          <w:color w:val="0000D4"/>
          <w:sz w:val="20"/>
          <w:szCs w:val="20"/>
          <w:u w:val="single"/>
        </w:rPr>
        <w:t xml:space="preserve"> </w:t>
      </w:r>
      <w:hyperlink r:id="rId10" w:history="1">
        <w:r>
          <w:rPr>
            <w:rStyle w:val="Hyperlink"/>
            <w:rFonts w:ascii="Century Gothic" w:hAnsi="Century Gothic" w:hint="eastAsia"/>
            <w:sz w:val="20"/>
            <w:szCs w:val="20"/>
          </w:rPr>
          <w:t>https://community.icann.org/display/atrt/ATRT2+Implementation+Program</w:t>
        </w:r>
      </w:hyperlink>
      <w:r w:rsidRPr="000E683C">
        <w:rPr>
          <w:rFonts w:ascii="Century Gothic" w:hAnsi="Century Gothic" w:hint="eastAsia"/>
          <w:color w:val="000000" w:themeColor="text1"/>
          <w:sz w:val="20"/>
          <w:szCs w:val="20"/>
        </w:rPr>
        <w:t xml:space="preserve"> </w:t>
      </w:r>
      <w:r w:rsidR="000E683C" w:rsidRPr="000E683C">
        <w:rPr>
          <w:rFonts w:ascii="Century Gothic" w:hAnsi="Century Gothic" w:hint="eastAsia"/>
          <w:color w:val="000000" w:themeColor="text1"/>
          <w:sz w:val="20"/>
          <w:szCs w:val="20"/>
        </w:rPr>
        <w:t>－</w:t>
      </w:r>
      <w:r>
        <w:rPr>
          <w:rFonts w:ascii="Century Gothic" w:hAnsi="Century Gothic" w:hint="eastAsia"/>
          <w:color w:val="0000D4"/>
          <w:sz w:val="20"/>
          <w:szCs w:val="20"/>
        </w:rPr>
        <w:t xml:space="preserve">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请参见关于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GAC 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>建议的建议</w:t>
      </w:r>
      <w:r>
        <w:rPr>
          <w:rFonts w:ascii="Century Gothic" w:hAnsi="Century Gothic" w:hint="eastAsia"/>
          <w:color w:val="000000" w:themeColor="text1"/>
          <w:sz w:val="20"/>
          <w:szCs w:val="20"/>
        </w:rPr>
        <w:t xml:space="preserve"> 6 </w:t>
      </w:r>
    </w:p>
    <w:p w14:paraId="05EAA68C" w14:textId="77777777" w:rsidR="004134C7" w:rsidRPr="000E683C" w:rsidRDefault="004134C7" w:rsidP="000E683C">
      <w:pPr>
        <w:pStyle w:val="BodyText"/>
        <w:jc w:val="both"/>
        <w:rPr>
          <w:rFonts w:ascii="Century Gothic" w:hAnsi="Century Gothic"/>
        </w:rPr>
      </w:pPr>
    </w:p>
    <w:p w14:paraId="302575BD" w14:textId="7C9A591B" w:rsidR="004134C7" w:rsidRPr="006B0F0E" w:rsidRDefault="006B0F0E" w:rsidP="000E683C">
      <w:pPr>
        <w:pStyle w:val="BodyText"/>
        <w:jc w:val="both"/>
        <w:rPr>
          <w:rFonts w:ascii="Century Gothic" w:hAnsi="Century Gothic"/>
          <w:b/>
        </w:rPr>
      </w:pPr>
      <w:r>
        <w:rPr>
          <w:rFonts w:ascii="Century Gothic" w:hAnsi="Century Gothic" w:hint="eastAsia"/>
          <w:b/>
        </w:rPr>
        <w:t>其他相关链接：</w:t>
      </w:r>
    </w:p>
    <w:p w14:paraId="4EB47880" w14:textId="622D53E8" w:rsidR="004134C7" w:rsidRPr="00C365F8" w:rsidRDefault="004134C7" w:rsidP="000E683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第一</w:t>
      </w:r>
      <w:r>
        <w:rPr>
          <w:rFonts w:ascii="Century Gothic" w:hAnsi="Century Gothic" w:hint="eastAsia"/>
          <w:sz w:val="20"/>
          <w:szCs w:val="20"/>
        </w:rPr>
        <w:t xml:space="preserve"> ATRT </w:t>
      </w:r>
      <w:r>
        <w:rPr>
          <w:rFonts w:ascii="Century Gothic" w:hAnsi="Century Gothic" w:hint="eastAsia"/>
          <w:sz w:val="20"/>
          <w:szCs w:val="20"/>
        </w:rPr>
        <w:t>的最终建议</w:t>
      </w:r>
      <w:r>
        <w:rPr>
          <w:rFonts w:ascii="Century Gothic" w:hAnsi="Century Gothic" w:hint="eastAsia"/>
          <w:sz w:val="20"/>
          <w:szCs w:val="20"/>
        </w:rPr>
        <w:t xml:space="preserve"> </w:t>
      </w:r>
      <w:r w:rsidR="000E683C">
        <w:rPr>
          <w:rFonts w:ascii="Century Gothic" w:hAnsi="Century Gothic" w:hint="eastAsia"/>
          <w:sz w:val="20"/>
          <w:szCs w:val="20"/>
        </w:rPr>
        <w:t>－</w:t>
      </w:r>
      <w:r>
        <w:rPr>
          <w:rFonts w:ascii="Century Gothic" w:hAnsi="Century Gothic" w:hint="eastAsia"/>
          <w:sz w:val="20"/>
          <w:szCs w:val="20"/>
        </w:rPr>
        <w:t xml:space="preserve"> 2010 </w:t>
      </w:r>
      <w:r>
        <w:rPr>
          <w:rFonts w:ascii="Century Gothic" w:hAnsi="Century Gothic" w:hint="eastAsia"/>
          <w:sz w:val="20"/>
          <w:szCs w:val="20"/>
        </w:rPr>
        <w:t>年</w:t>
      </w:r>
      <w:r>
        <w:rPr>
          <w:rFonts w:ascii="Century Gothic" w:hAnsi="Century Gothic" w:hint="eastAsia"/>
          <w:sz w:val="20"/>
          <w:szCs w:val="20"/>
        </w:rPr>
        <w:t xml:space="preserve"> 12 </w:t>
      </w:r>
      <w:r>
        <w:rPr>
          <w:rFonts w:ascii="Century Gothic" w:hAnsi="Century Gothic" w:hint="eastAsia"/>
          <w:sz w:val="20"/>
          <w:szCs w:val="20"/>
        </w:rPr>
        <w:t>月</w:t>
      </w:r>
      <w:r>
        <w:rPr>
          <w:rFonts w:ascii="Century Gothic" w:hAnsi="Century Gothic" w:hint="eastAsia"/>
          <w:sz w:val="20"/>
          <w:szCs w:val="20"/>
        </w:rPr>
        <w:t xml:space="preserve"> 31</w:t>
      </w:r>
      <w:r>
        <w:rPr>
          <w:rFonts w:ascii="Century Gothic" w:hAnsi="Century Gothic" w:hint="eastAsia"/>
          <w:sz w:val="20"/>
          <w:szCs w:val="20"/>
        </w:rPr>
        <w:t>日：</w:t>
      </w:r>
    </w:p>
    <w:p w14:paraId="7C7FA4AE" w14:textId="77777777" w:rsidR="004134C7" w:rsidRPr="00C365F8" w:rsidRDefault="006D6E9F" w:rsidP="000E683C">
      <w:pPr>
        <w:jc w:val="both"/>
        <w:rPr>
          <w:rFonts w:ascii="Century Gothic" w:hAnsi="Century Gothic"/>
          <w:sz w:val="20"/>
          <w:szCs w:val="20"/>
        </w:rPr>
      </w:pPr>
      <w:hyperlink r:id="rId11" w:history="1">
        <w:r w:rsidR="00FF7C26">
          <w:rPr>
            <w:rFonts w:ascii="Century Gothic" w:hAnsi="Century Gothic" w:hint="eastAsia"/>
            <w:color w:val="0000D4"/>
            <w:sz w:val="20"/>
            <w:szCs w:val="20"/>
            <w:u w:val="single"/>
          </w:rPr>
          <w:t xml:space="preserve">http://www.icann.org/en/reviews/affirmation/atrt-final-recommendations-31dec10-en.pdf </w:t>
        </w:r>
      </w:hyperlink>
    </w:p>
    <w:p w14:paraId="43736A0B" w14:textId="77777777" w:rsidR="004134C7" w:rsidRPr="00C365F8" w:rsidRDefault="004134C7" w:rsidP="000E683C">
      <w:pPr>
        <w:pStyle w:val="ListParagraph"/>
        <w:jc w:val="both"/>
        <w:rPr>
          <w:rFonts w:ascii="Century Gothic" w:hAnsi="Century Gothic"/>
          <w:sz w:val="20"/>
          <w:szCs w:val="20"/>
          <w:lang w:bidi="ar-EG"/>
        </w:rPr>
      </w:pPr>
    </w:p>
    <w:p w14:paraId="47DDB3C7" w14:textId="0AA86EA5" w:rsidR="004134C7" w:rsidRPr="00C365F8" w:rsidRDefault="006D6E9F" w:rsidP="000E683C">
      <w:pPr>
        <w:jc w:val="both"/>
        <w:rPr>
          <w:rFonts w:ascii="Century Gothic" w:hAnsi="Century Gothic"/>
          <w:sz w:val="20"/>
          <w:szCs w:val="20"/>
        </w:rPr>
      </w:pPr>
      <w:hyperlink r:id="rId12" w:history="1">
        <w:r w:rsidR="00FF7C26">
          <w:rPr>
            <w:rFonts w:ascii="Century Gothic" w:hAnsi="Century Gothic" w:hint="eastAsia"/>
            <w:sz w:val="20"/>
            <w:szCs w:val="20"/>
          </w:rPr>
          <w:t>董事会</w:t>
        </w:r>
        <w:r w:rsidR="00FF7C26">
          <w:rPr>
            <w:rFonts w:ascii="Century Gothic" w:hAnsi="Century Gothic" w:hint="eastAsia"/>
            <w:sz w:val="20"/>
            <w:szCs w:val="20"/>
          </w:rPr>
          <w:t xml:space="preserve">/GAC JWG </w:t>
        </w:r>
        <w:r w:rsidR="00FF7C26">
          <w:rPr>
            <w:rFonts w:ascii="Century Gothic" w:hAnsi="Century Gothic" w:hint="eastAsia"/>
            <w:sz w:val="20"/>
            <w:szCs w:val="20"/>
          </w:rPr>
          <w:t>最终报告</w:t>
        </w:r>
        <w:r w:rsidR="00FF7C26">
          <w:rPr>
            <w:rFonts w:ascii="Century Gothic" w:hAnsi="Century Gothic" w:hint="eastAsia"/>
            <w:sz w:val="20"/>
            <w:szCs w:val="20"/>
          </w:rPr>
          <w:t xml:space="preserve"> </w:t>
        </w:r>
        <w:r w:rsidR="000E683C">
          <w:rPr>
            <w:rFonts w:ascii="Century Gothic" w:hAnsi="Century Gothic" w:hint="eastAsia"/>
            <w:sz w:val="20"/>
            <w:szCs w:val="20"/>
          </w:rPr>
          <w:t>－</w:t>
        </w:r>
        <w:r w:rsidR="00FF7C26">
          <w:rPr>
            <w:rFonts w:ascii="Century Gothic" w:hAnsi="Century Gothic" w:hint="eastAsia"/>
            <w:sz w:val="20"/>
            <w:szCs w:val="20"/>
          </w:rPr>
          <w:t xml:space="preserve"> 2011 </w:t>
        </w:r>
        <w:r w:rsidR="00FF7C26">
          <w:rPr>
            <w:rFonts w:ascii="Century Gothic" w:hAnsi="Century Gothic" w:hint="eastAsia"/>
            <w:sz w:val="20"/>
            <w:szCs w:val="20"/>
          </w:rPr>
          <w:t>年</w:t>
        </w:r>
        <w:r w:rsidR="00FF7C26">
          <w:rPr>
            <w:rFonts w:ascii="Century Gothic" w:hAnsi="Century Gothic" w:hint="eastAsia"/>
            <w:sz w:val="20"/>
            <w:szCs w:val="20"/>
          </w:rPr>
          <w:t xml:space="preserve"> 6 </w:t>
        </w:r>
        <w:r w:rsidR="00FF7C26">
          <w:rPr>
            <w:rFonts w:ascii="Century Gothic" w:hAnsi="Century Gothic" w:hint="eastAsia"/>
            <w:sz w:val="20"/>
            <w:szCs w:val="20"/>
          </w:rPr>
          <w:t>月</w:t>
        </w:r>
        <w:r w:rsidR="00FF7C26">
          <w:rPr>
            <w:rFonts w:ascii="Century Gothic" w:hAnsi="Century Gothic" w:hint="eastAsia"/>
            <w:sz w:val="20"/>
            <w:szCs w:val="20"/>
          </w:rPr>
          <w:t xml:space="preserve"> 19 </w:t>
        </w:r>
        <w:r w:rsidR="00FF7C26">
          <w:rPr>
            <w:rFonts w:ascii="Century Gothic" w:hAnsi="Century Gothic" w:hint="eastAsia"/>
            <w:sz w:val="20"/>
            <w:szCs w:val="20"/>
          </w:rPr>
          <w:t>日：</w:t>
        </w:r>
      </w:hyperlink>
    </w:p>
    <w:p w14:paraId="1F46A9D8" w14:textId="51A7F6E7" w:rsidR="004134C7" w:rsidRPr="00C365F8" w:rsidRDefault="00FF7C26" w:rsidP="000E683C">
      <w:pPr>
        <w:jc w:val="both"/>
        <w:rPr>
          <w:rFonts w:ascii="Century Gothic" w:hAnsi="Century Gothic"/>
          <w:color w:val="0000D4"/>
          <w:sz w:val="20"/>
          <w:szCs w:val="20"/>
          <w:u w:val="single"/>
        </w:rPr>
      </w:pPr>
      <w:r>
        <w:rPr>
          <w:rFonts w:ascii="Century Gothic" w:hAnsi="Century Gothic" w:hint="eastAsia"/>
          <w:color w:val="0000D4"/>
          <w:sz w:val="20"/>
          <w:szCs w:val="20"/>
          <w:u w:val="single"/>
        </w:rPr>
        <w:t xml:space="preserve">http://www.icann.org/en/committees/board-gac-2009/board-gac-jwg-final-report-19jun11-en.pdf </w:t>
      </w:r>
    </w:p>
    <w:p w14:paraId="2027553B" w14:textId="77777777" w:rsidR="004134C7" w:rsidRPr="00C365F8" w:rsidRDefault="004134C7" w:rsidP="000E683C">
      <w:pPr>
        <w:jc w:val="both"/>
        <w:rPr>
          <w:rFonts w:ascii="Century Gothic" w:hAnsi="Century Gothic"/>
          <w:color w:val="0000D4"/>
          <w:sz w:val="20"/>
          <w:szCs w:val="20"/>
          <w:u w:val="single"/>
        </w:rPr>
      </w:pPr>
    </w:p>
    <w:p w14:paraId="1FFD7AAC" w14:textId="5308AEAA" w:rsidR="004134C7" w:rsidRPr="00C365F8" w:rsidRDefault="006B0F0E" w:rsidP="000E683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color w:val="000000" w:themeColor="text1"/>
          <w:sz w:val="20"/>
          <w:szCs w:val="20"/>
          <w:u w:val="single"/>
        </w:rPr>
        <w:t xml:space="preserve">ICANN ATRT </w:t>
      </w:r>
      <w:r>
        <w:rPr>
          <w:rFonts w:ascii="Century Gothic" w:hAnsi="Century Gothic" w:hint="eastAsia"/>
          <w:color w:val="000000" w:themeColor="text1"/>
          <w:sz w:val="20"/>
          <w:szCs w:val="20"/>
          <w:u w:val="single"/>
        </w:rPr>
        <w:t>主页：</w:t>
      </w:r>
      <w:hyperlink r:id="rId13" w:history="1">
        <w:r>
          <w:rPr>
            <w:rStyle w:val="Hyperlink"/>
            <w:rFonts w:ascii="Century Gothic" w:hAnsi="Century Gothic" w:hint="eastAsia"/>
            <w:sz w:val="20"/>
            <w:szCs w:val="20"/>
          </w:rPr>
          <w:t>https://www.icann.org/resources/accountability</w:t>
        </w:r>
      </w:hyperlink>
    </w:p>
    <w:p w14:paraId="38F89298" w14:textId="77777777" w:rsidR="004361B1" w:rsidRPr="00E06DE4" w:rsidRDefault="004361B1" w:rsidP="000E683C">
      <w:pPr>
        <w:pStyle w:val="BodyText"/>
        <w:ind w:right="545"/>
        <w:jc w:val="both"/>
      </w:pPr>
    </w:p>
    <w:p w14:paraId="331C9076" w14:textId="77777777" w:rsidR="004361B1" w:rsidRDefault="004361B1" w:rsidP="00EA4C85">
      <w:pPr>
        <w:pStyle w:val="Heading2"/>
      </w:pPr>
      <w:bookmarkStart w:id="1" w:name="_Hlk484433727"/>
      <w:r>
        <w:rPr>
          <w:rFonts w:hint="eastAsia"/>
        </w:rPr>
        <w:t>文档管理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439"/>
      </w:tblGrid>
      <w:tr w:rsidR="004361B1" w:rsidRPr="003F43E3" w14:paraId="59EA12E9" w14:textId="77777777" w:rsidTr="00C365F8">
        <w:tc>
          <w:tcPr>
            <w:tcW w:w="3083" w:type="dxa"/>
            <w:vAlign w:val="center"/>
          </w:tcPr>
          <w:p w14:paraId="69DEBE08" w14:textId="77777777" w:rsidR="004361B1" w:rsidRPr="003F43E3" w:rsidRDefault="004361B1" w:rsidP="0012301E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标题</w:t>
            </w:r>
          </w:p>
        </w:tc>
        <w:tc>
          <w:tcPr>
            <w:tcW w:w="5439" w:type="dxa"/>
            <w:vAlign w:val="center"/>
          </w:tcPr>
          <w:p w14:paraId="212D1778" w14:textId="307FE7AD" w:rsidR="004361B1" w:rsidRPr="00EA3A02" w:rsidRDefault="00C365F8" w:rsidP="003F39D5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BGRI</w:t>
            </w:r>
          </w:p>
        </w:tc>
      </w:tr>
      <w:tr w:rsidR="004361B1" w:rsidRPr="003F43E3" w14:paraId="6AC7363A" w14:textId="77777777" w:rsidTr="00C365F8">
        <w:tc>
          <w:tcPr>
            <w:tcW w:w="3083" w:type="dxa"/>
            <w:vAlign w:val="center"/>
          </w:tcPr>
          <w:p w14:paraId="3BD70AEF" w14:textId="77777777" w:rsidR="004361B1" w:rsidRPr="003F43E3" w:rsidRDefault="004361B1" w:rsidP="0012301E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分发对象</w:t>
            </w:r>
          </w:p>
        </w:tc>
        <w:tc>
          <w:tcPr>
            <w:tcW w:w="5439" w:type="dxa"/>
            <w:vAlign w:val="center"/>
          </w:tcPr>
          <w:p w14:paraId="43CB56A1" w14:textId="77777777" w:rsidR="004361B1" w:rsidRPr="003F43E3" w:rsidRDefault="004361B1" w:rsidP="0012301E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GAC </w:t>
            </w:r>
            <w:r>
              <w:rPr>
                <w:rFonts w:ascii="Century Gothic" w:hAnsi="Century Gothic" w:hint="eastAsia"/>
                <w:sz w:val="20"/>
                <w:szCs w:val="20"/>
              </w:rPr>
              <w:t>成员</w:t>
            </w:r>
          </w:p>
        </w:tc>
      </w:tr>
      <w:tr w:rsidR="004361B1" w:rsidRPr="003F43E3" w14:paraId="10FBEF62" w14:textId="77777777" w:rsidTr="00C365F8">
        <w:tc>
          <w:tcPr>
            <w:tcW w:w="3083" w:type="dxa"/>
            <w:vAlign w:val="center"/>
          </w:tcPr>
          <w:p w14:paraId="777843CE" w14:textId="77777777" w:rsidR="004361B1" w:rsidRPr="003F43E3" w:rsidRDefault="004361B1" w:rsidP="0012301E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分发日期</w:t>
            </w:r>
          </w:p>
        </w:tc>
        <w:tc>
          <w:tcPr>
            <w:tcW w:w="5439" w:type="dxa"/>
            <w:vAlign w:val="center"/>
          </w:tcPr>
          <w:p w14:paraId="5BCE3609" w14:textId="4350CD49" w:rsidR="004361B1" w:rsidRPr="003F43E3" w:rsidRDefault="005D3DAA" w:rsidP="00533EC9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2018 </w:t>
            </w:r>
            <w:r>
              <w:rPr>
                <w:rFonts w:ascii="Century Gothic" w:hAnsi="Century Gothic" w:hint="eastAsia"/>
                <w:sz w:val="20"/>
                <w:szCs w:val="20"/>
              </w:rPr>
              <w:t>年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6 </w:t>
            </w:r>
            <w:r>
              <w:rPr>
                <w:rFonts w:ascii="Century Gothic" w:hAnsi="Century Gothic" w:hint="eastAsia"/>
                <w:sz w:val="20"/>
                <w:szCs w:val="20"/>
              </w:rPr>
              <w:t>月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7 </w:t>
            </w:r>
            <w:r>
              <w:rPr>
                <w:rFonts w:ascii="Century Gothic" w:hAnsi="Century Gothic" w:hint="eastAsia"/>
                <w:sz w:val="20"/>
                <w:szCs w:val="20"/>
              </w:rPr>
              <w:t>日</w:t>
            </w:r>
          </w:p>
        </w:tc>
      </w:tr>
      <w:bookmarkEnd w:id="1"/>
    </w:tbl>
    <w:p w14:paraId="2C1B3C99" w14:textId="77777777" w:rsidR="004361B1" w:rsidRDefault="004361B1" w:rsidP="004361B1">
      <w:pPr>
        <w:pStyle w:val="BodyText"/>
        <w:ind w:right="545"/>
        <w:rPr>
          <w:color w:val="000000"/>
          <w:szCs w:val="20"/>
        </w:rPr>
      </w:pPr>
    </w:p>
    <w:p w14:paraId="2BF083B0" w14:textId="77777777" w:rsidR="004361B1" w:rsidRPr="004361B1" w:rsidRDefault="004361B1" w:rsidP="004361B1">
      <w:pPr>
        <w:pStyle w:val="BodyText"/>
        <w:rPr>
          <w:lang w:val="en-AU"/>
        </w:rPr>
      </w:pPr>
    </w:p>
    <w:sectPr w:rsidR="004361B1" w:rsidRPr="004361B1" w:rsidSect="0012301E">
      <w:headerReference w:type="default" r:id="rId14"/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652B" w14:textId="77777777" w:rsidR="006D6E9F" w:rsidRDefault="006D6E9F">
      <w:r>
        <w:separator/>
      </w:r>
    </w:p>
  </w:endnote>
  <w:endnote w:type="continuationSeparator" w:id="0">
    <w:p w14:paraId="2D2A561C" w14:textId="77777777" w:rsidR="006D6E9F" w:rsidRDefault="006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1C59" w14:textId="77777777" w:rsidR="0012301E" w:rsidRDefault="004361B1" w:rsidP="001230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1E8D6949" w14:textId="77777777" w:rsidR="0012301E" w:rsidRDefault="0012301E" w:rsidP="001230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4CA4A" w14:textId="77777777" w:rsidR="0012301E" w:rsidRDefault="004361B1" w:rsidP="0012301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E15046">
      <w:rPr>
        <w:rStyle w:val="PageNumber"/>
        <w:rFonts w:hint="eastAsia"/>
      </w:rPr>
      <w:t>1</w:t>
    </w:r>
    <w:r>
      <w:rPr>
        <w:rStyle w:val="PageNumber"/>
        <w:rFonts w:hint="eastAsia"/>
      </w:rPr>
      <w:fldChar w:fldCharType="end"/>
    </w:r>
  </w:p>
  <w:p w14:paraId="28613BF2" w14:textId="77777777" w:rsidR="0012301E" w:rsidRDefault="0012301E" w:rsidP="001230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87D13" w14:textId="77777777" w:rsidR="006D6E9F" w:rsidRDefault="006D6E9F">
      <w:r>
        <w:separator/>
      </w:r>
    </w:p>
  </w:footnote>
  <w:footnote w:type="continuationSeparator" w:id="0">
    <w:p w14:paraId="055821DD" w14:textId="77777777" w:rsidR="006D6E9F" w:rsidRDefault="006D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5B69B" w14:textId="77777777" w:rsidR="0012301E" w:rsidRDefault="004361B1">
    <w:pPr>
      <w:pStyle w:val="Header"/>
    </w:pPr>
    <w:r>
      <w:rPr>
        <w:rFonts w:asciiTheme="majorHAnsi" w:hAnsiTheme="majorHAnsi" w:hint="eastAsia"/>
        <w:noProof/>
      </w:rPr>
      <w:drawing>
        <wp:anchor distT="0" distB="0" distL="114300" distR="114300" simplePos="0" relativeHeight="251659264" behindDoc="1" locked="0" layoutInCell="1" allowOverlap="1" wp14:anchorId="18902393" wp14:editId="6CB1868E">
          <wp:simplePos x="0" y="0"/>
          <wp:positionH relativeFrom="column">
            <wp:posOffset>2051367</wp:posOffset>
          </wp:positionH>
          <wp:positionV relativeFrom="paragraph">
            <wp:posOffset>-893127</wp:posOffset>
          </wp:positionV>
          <wp:extent cx="1363816" cy="2123953"/>
          <wp:effectExtent l="953" t="0" r="9207" b="0"/>
          <wp:wrapNone/>
          <wp:docPr id="2" name="Picture 2" descr="Macintosh HD:Users:julia.charvolen:Desktop:GAC:GAC website:GAC logo :GAC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julia.charvolen:Desktop:GAC:GAC website:GAC logo :GAC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363816" cy="21239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50A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799"/>
    <w:multiLevelType w:val="multilevel"/>
    <w:tmpl w:val="E1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1D61E6"/>
    <w:multiLevelType w:val="multilevel"/>
    <w:tmpl w:val="203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896B99"/>
    <w:multiLevelType w:val="hybridMultilevel"/>
    <w:tmpl w:val="1016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E6B09"/>
    <w:multiLevelType w:val="hybridMultilevel"/>
    <w:tmpl w:val="2E48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E3F46"/>
    <w:multiLevelType w:val="hybridMultilevel"/>
    <w:tmpl w:val="46B2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348F7"/>
    <w:multiLevelType w:val="hybridMultilevel"/>
    <w:tmpl w:val="E00A97AC"/>
    <w:lvl w:ilvl="0" w:tplc="D248C3E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072D34"/>
    <w:multiLevelType w:val="hybridMultilevel"/>
    <w:tmpl w:val="C03A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B1"/>
    <w:rsid w:val="00083781"/>
    <w:rsid w:val="000A2E18"/>
    <w:rsid w:val="000A353D"/>
    <w:rsid w:val="000E683C"/>
    <w:rsid w:val="000F5DA7"/>
    <w:rsid w:val="001002A0"/>
    <w:rsid w:val="0010486C"/>
    <w:rsid w:val="00110CA7"/>
    <w:rsid w:val="0012301E"/>
    <w:rsid w:val="00141865"/>
    <w:rsid w:val="001F22E5"/>
    <w:rsid w:val="00285EDD"/>
    <w:rsid w:val="002E0299"/>
    <w:rsid w:val="00331F2A"/>
    <w:rsid w:val="00366290"/>
    <w:rsid w:val="003765A3"/>
    <w:rsid w:val="003F39D5"/>
    <w:rsid w:val="004134C7"/>
    <w:rsid w:val="004361B1"/>
    <w:rsid w:val="00492172"/>
    <w:rsid w:val="004A7363"/>
    <w:rsid w:val="004E3525"/>
    <w:rsid w:val="004E4507"/>
    <w:rsid w:val="00533EC9"/>
    <w:rsid w:val="005B60AA"/>
    <w:rsid w:val="005D3DAA"/>
    <w:rsid w:val="00603893"/>
    <w:rsid w:val="00671DD7"/>
    <w:rsid w:val="006B0F0E"/>
    <w:rsid w:val="006D6E9F"/>
    <w:rsid w:val="007074E5"/>
    <w:rsid w:val="00775D36"/>
    <w:rsid w:val="007B5355"/>
    <w:rsid w:val="008F68D5"/>
    <w:rsid w:val="00AC08BE"/>
    <w:rsid w:val="00B00F9D"/>
    <w:rsid w:val="00BC6D1B"/>
    <w:rsid w:val="00BE5829"/>
    <w:rsid w:val="00C0678C"/>
    <w:rsid w:val="00C365F8"/>
    <w:rsid w:val="00DD157E"/>
    <w:rsid w:val="00DE28B4"/>
    <w:rsid w:val="00E01D4E"/>
    <w:rsid w:val="00E15046"/>
    <w:rsid w:val="00E15B53"/>
    <w:rsid w:val="00E6612A"/>
    <w:rsid w:val="00EA4C85"/>
    <w:rsid w:val="00F42B96"/>
    <w:rsid w:val="00F72B79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33D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61B1"/>
    <w:rPr>
      <w:rFonts w:ascii="Times New Roman" w:eastAsia="SimSun" w:hAnsi="Times New Roman" w:cs="Times New Roman"/>
    </w:rPr>
  </w:style>
  <w:style w:type="paragraph" w:styleId="Heading1">
    <w:name w:val="heading 1"/>
    <w:next w:val="BodyText"/>
    <w:link w:val="Heading1Char"/>
    <w:uiPriority w:val="9"/>
    <w:qFormat/>
    <w:rsid w:val="004361B1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rFonts w:ascii="Century Gothic" w:eastAsia="SimSun" w:hAnsi="Century Gothic" w:cs="Times New Roman"/>
      <w:b/>
      <w:color w:val="00408E"/>
      <w:sz w:val="28"/>
      <w:szCs w:val="28"/>
      <w:lang w:val="en-AU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A4C85"/>
    <w:pPr>
      <w:keepNext/>
      <w:keepLines/>
      <w:spacing w:after="0" w:line="276" w:lineRule="auto"/>
      <w:ind w:right="547"/>
      <w:outlineLvl w:val="1"/>
    </w:pPr>
    <w:rPr>
      <w:rFonts w:ascii="Century Gothic" w:hAnsi="Century Gothic"/>
      <w:b/>
      <w:color w:val="2F5496" w:themeColor="accent1" w:themeShade="BF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1B1"/>
    <w:rPr>
      <w:rFonts w:ascii="Century Gothic" w:eastAsia="SimSun" w:hAnsi="Century Gothic" w:cs="Times New Roman"/>
      <w:b/>
      <w:color w:val="00408E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A4C85"/>
    <w:rPr>
      <w:rFonts w:ascii="Century Gothic" w:eastAsia="SimSun" w:hAnsi="Century Gothic" w:cs="Times New Roman"/>
      <w:b/>
      <w:color w:val="2F5496" w:themeColor="accent1" w:themeShade="BF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4361B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361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61B1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361B1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4361B1"/>
  </w:style>
  <w:style w:type="paragraph" w:styleId="BodyText">
    <w:name w:val="Body Text"/>
    <w:basedOn w:val="Normal"/>
    <w:link w:val="BodyTextChar"/>
    <w:uiPriority w:val="99"/>
    <w:unhideWhenUsed/>
    <w:rsid w:val="00436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61B1"/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4361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1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1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361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68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nn.org/resources/reviews/specific-reviews/atrt" TargetMode="External"/><Relationship Id="rId13" Type="http://schemas.openxmlformats.org/officeDocument/2006/relationships/hyperlink" Target="https://www.icann.org/resources/accountabilit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ann.org/resources/pages/board-gac-2011-2012-02-28-en" TargetMode="External"/><Relationship Id="rId12" Type="http://schemas.openxmlformats.org/officeDocument/2006/relationships/hyperlink" Target="http://www.icann.org/en/committees/board-gac-2009/board-gac-jwg-final-report-19jun11-e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nn.org/en/reviews/affirmation/atrt-final-recommendations-31dec10-en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ommunity.icann.org/display/atrt/ATRT2+Implementation+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ann.org/resources/reviews/specific-reviews/atr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Agenda Item XX.   Board-GAC Review Implementation (BGRI) Working Group</vt:lpstr>
      <vt:lpstr>    Issue:</vt:lpstr>
      <vt:lpstr>    Efforts to improve the processing and tracking of GAC advice have been an unde</vt:lpstr>
      <vt:lpstr>    GAC Action Required:</vt:lpstr>
      <vt:lpstr>    Current Position:</vt:lpstr>
      <vt:lpstr>    Further Background Information/Details:</vt:lpstr>
      <vt:lpstr>    The Board-GAC Recommendations Implementation Working Group (BGRI-WG) (https://ww</vt:lpstr>
      <vt:lpstr>    </vt:lpstr>
      <vt:lpstr>    Document Administration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Charvolen</dc:creator>
  <cp:keywords/>
  <dc:description/>
  <cp:lastModifiedBy>Cherry_wu</cp:lastModifiedBy>
  <cp:revision>6</cp:revision>
  <dcterms:created xsi:type="dcterms:W3CDTF">2018-06-06T02:37:00Z</dcterms:created>
  <dcterms:modified xsi:type="dcterms:W3CDTF">2018-06-21T09:37:00Z</dcterms:modified>
</cp:coreProperties>
</file>